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C7" w:rsidRDefault="00E124C7" w:rsidP="00E124C7">
      <w:pPr>
        <w:spacing w:after="0"/>
        <w:rPr>
          <w:lang w:val="sr-Cyrl-RS"/>
        </w:rPr>
      </w:pPr>
    </w:p>
    <w:p w:rsidR="00D74186" w:rsidRDefault="00D74186" w:rsidP="00D74186">
      <w:pPr>
        <w:spacing w:after="0"/>
      </w:pPr>
    </w:p>
    <w:p w:rsidR="00D74186" w:rsidRDefault="00D74186" w:rsidP="00D74186">
      <w:pPr>
        <w:spacing w:after="0"/>
      </w:pPr>
    </w:p>
    <w:p w:rsidR="00D74186" w:rsidRPr="00D74186" w:rsidRDefault="00D74186" w:rsidP="00D74186">
      <w:pPr>
        <w:spacing w:after="0"/>
        <w:rPr>
          <w:lang w:val="sr-Cyrl-RS"/>
        </w:rPr>
      </w:pPr>
      <w:r w:rsidRPr="00D74186">
        <w:rPr>
          <w:lang w:val="sr-Cyrl-RS"/>
        </w:rPr>
        <w:t>Дел.бр.</w:t>
      </w:r>
      <w:r w:rsidR="009E2FDD">
        <w:rPr>
          <w:lang w:val="sr-Cyrl-RS"/>
        </w:rPr>
        <w:t xml:space="preserve"> 2/2021-1</w:t>
      </w:r>
    </w:p>
    <w:p w:rsidR="00D74186" w:rsidRPr="00D74186" w:rsidRDefault="00D74186" w:rsidP="00D74186">
      <w:pPr>
        <w:spacing w:after="0"/>
        <w:rPr>
          <w:lang w:val="sr-Cyrl-RS"/>
        </w:rPr>
      </w:pPr>
      <w:r w:rsidRPr="00D74186">
        <w:rPr>
          <w:lang w:val="sr-Cyrl-RS"/>
        </w:rPr>
        <w:t xml:space="preserve">Датум: </w:t>
      </w:r>
      <w:r w:rsidR="009E2FDD">
        <w:rPr>
          <w:lang w:val="sr-Cyrl-RS"/>
        </w:rPr>
        <w:t>29.1.2021.</w:t>
      </w:r>
    </w:p>
    <w:p w:rsidR="00D74186" w:rsidRPr="00D74186" w:rsidRDefault="00D74186" w:rsidP="00D74186">
      <w:pPr>
        <w:spacing w:after="0"/>
        <w:rPr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Уредбе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("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</w:t>
      </w:r>
      <w:r w:rsidRPr="005C5D14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бр</w:t>
      </w:r>
      <w:r w:rsidRPr="005C5D14">
        <w:rPr>
          <w:rFonts w:ascii="Times New Roman" w:hAnsi="Times New Roman" w:cs="Times New Roman"/>
          <w:sz w:val="24"/>
          <w:szCs w:val="24"/>
        </w:rPr>
        <w:t xml:space="preserve">. 125/2003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12/2006) 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>и чланом 119. Став 1. Тачка 1) Закона о основама система образовања и васпитања</w:t>
      </w:r>
      <w:r w:rsidR="00F30253" w:rsidRPr="00F30253">
        <w:rPr>
          <w:rFonts w:ascii="Times New Roman" w:hAnsi="Times New Roman" w:cs="Times New Roman"/>
          <w:sz w:val="24"/>
          <w:szCs w:val="24"/>
          <w:lang w:val="sr-Cyrl-RS"/>
        </w:rPr>
        <w:t xml:space="preserve">("Сл. гласник РС", бр. 88/2017, 27/2018 - др. закон, 10/2019, 27/2018 - др. закон 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>и 6/2020 у даљем тексту: Закон),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седници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одржаној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дана </w:t>
      </w:r>
      <w:r w:rsidR="005178C4">
        <w:rPr>
          <w:rFonts w:ascii="Times New Roman" w:hAnsi="Times New Roman" w:cs="Times New Roman"/>
          <w:sz w:val="24"/>
          <w:szCs w:val="24"/>
          <w:lang w:val="sr-Cyrl-RS"/>
        </w:rPr>
        <w:t xml:space="preserve">29.1.2021.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253" w:rsidRDefault="00F30253" w:rsidP="005C5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:rsidR="005C5D14" w:rsidRDefault="005C5D14" w:rsidP="005C5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О БУЏЕТСКОМ РАЧУНОВОДСТВУ </w:t>
      </w:r>
    </w:p>
    <w:p w:rsidR="00F30253" w:rsidRPr="00F30253" w:rsidRDefault="00F30253" w:rsidP="005C5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Pr="005C5D14">
        <w:rPr>
          <w:rFonts w:ascii="Times New Roman" w:hAnsi="Times New Roman" w:cs="Times New Roman"/>
          <w:b/>
          <w:sz w:val="24"/>
          <w:szCs w:val="24"/>
        </w:rPr>
        <w:t xml:space="preserve">Опште одредбе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1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0253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Овим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Стеван Сремац</w:t>
      </w:r>
      <w:r w:rsidRPr="005C5D14">
        <w:rPr>
          <w:rFonts w:ascii="Times New Roman" w:hAnsi="Times New Roman" w:cs="Times New Roman"/>
          <w:sz w:val="24"/>
          <w:szCs w:val="24"/>
        </w:rPr>
        <w:t xml:space="preserve">“ 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 xml:space="preserve">у Сенти </w:t>
      </w:r>
      <w:r w:rsidRPr="005C5D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>)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годишње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периодично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усаглашавање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закључивање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рачуноводству</w:t>
      </w:r>
      <w:r w:rsidRPr="005C5D14">
        <w:rPr>
          <w:rFonts w:ascii="Times New Roman" w:hAnsi="Times New Roman" w:cs="Times New Roman"/>
          <w:sz w:val="24"/>
          <w:szCs w:val="24"/>
        </w:rPr>
        <w:t>.</w:t>
      </w:r>
    </w:p>
    <w:p w:rsidR="005C5D14" w:rsidRP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Организација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дефинисање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кретање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појмом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поступака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надлежности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индиректног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осигурава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Организација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темељи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начелима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начелима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објективност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целовитост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захтевима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примењује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подзаконски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 Организација буџетског система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1. Вођење буџетског рачуноводства </w:t>
      </w: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2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евидентирају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утичу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изворе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приходе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издатке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резултат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3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4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оквиру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спадају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C5D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међусобно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повезаних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унутрашњој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поред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унутрашњој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кажњавано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кривична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неподобним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5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тренутку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исплате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међународним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тренутком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благајну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благајне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консолидације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добављача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поверилаца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праћење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5C5D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2. Услови и начин вођења пословних књига и евиденција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6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једнообразне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капиталу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потраживањима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обавезама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изворима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приходима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примањима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резултату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двојног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субаналитичким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шестоцифреним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контима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класификациони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оквир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седмом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расчлањена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субаналитичка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класификационим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оквиром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уредно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Ажурно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хронолошки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b/>
          <w:sz w:val="24"/>
          <w:szCs w:val="24"/>
        </w:rPr>
        <w:t xml:space="preserve">Члан 7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каленарској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пословна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изузев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отварају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отварају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биланса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биланса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8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улазних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исправност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унетих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чување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хронологију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уноса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начелом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непроменљивог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206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софтвер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чување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прокњиженим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немогућност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неовлашћене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прокњижених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поштовање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немогућност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брисања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прокњижених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пограмски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софтвер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одштампати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екрану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9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главна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уносе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редоследу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доприноси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очувању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F30253">
        <w:rPr>
          <w:rFonts w:ascii="Times New Roman" w:hAnsi="Times New Roman" w:cs="Times New Roman"/>
          <w:sz w:val="24"/>
          <w:szCs w:val="24"/>
        </w:rPr>
        <w:t>обавља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Главна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систематизоване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субаналитичким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оквиру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редоследу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преносом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дуговних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унетих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Главна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билансне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ванбилансне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ванбилансне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ванбилансне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пасиве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10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Ванбилансна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9.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примљену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туђу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хартије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ванбилансну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Ванбилансна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9.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примљену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туђу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хартије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ванбилансну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пасиву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11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аналитичке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одвојено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нематеријална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улагања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некретнине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постројења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инвестиције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дугорочне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пласмане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залихе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исказују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количинским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субаналитичким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повезане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аналитичких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додатних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12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помоћна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помоћна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залиха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помоћна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добављача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помоћна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остале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благајна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благајна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дебитних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5C5D14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9.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2061DD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исплата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78C4" w:rsidRDefault="005178C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благајне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остале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</w:t>
      </w:r>
      <w:r w:rsidRPr="005C5D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материјални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2061DD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3. Дефинисање рачуноводствених исправа </w:t>
      </w:r>
    </w:p>
    <w:p w:rsidR="002061DD" w:rsidRDefault="002061DD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>Члан 13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капиталу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потраживањима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изворима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приходима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примањима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резултату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требовање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отпремница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доставница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прекњижавање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спецификација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књижна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решење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мањкова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записник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усаглашавању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обрачун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преглед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14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уносе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валидних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Обележје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усаглашеност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регулативом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валидности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недвосмислено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истините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подрзумева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Default="00F3025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отпремити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15 </w:t>
      </w:r>
    </w:p>
    <w:p w:rsidR="00F30253" w:rsidRPr="00F30253" w:rsidRDefault="00F3025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обевезне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елементе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садржина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вредност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послови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повезани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потпис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овлашћеног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>.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обевезне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елементе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адресу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ПИБ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обвезника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издаваоца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адресу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ПИБ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обвезника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примаоца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врсту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испоручених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датум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авансних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износ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пореску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стопу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примењује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износ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напомену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ПДВ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напомену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примењује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1DD" w:rsidRDefault="002061DD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1DD">
        <w:rPr>
          <w:rFonts w:ascii="Times New Roman" w:hAnsi="Times New Roman" w:cs="Times New Roman"/>
          <w:b/>
          <w:sz w:val="24"/>
          <w:szCs w:val="24"/>
        </w:rPr>
        <w:t xml:space="preserve">Члан 16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78C4" w:rsidRDefault="005178C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14.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2061DD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="00D75F4C">
        <w:rPr>
          <w:rFonts w:ascii="Times New Roman" w:hAnsi="Times New Roman" w:cs="Times New Roman"/>
          <w:sz w:val="24"/>
          <w:szCs w:val="24"/>
        </w:rPr>
        <w:t>.</w:t>
      </w:r>
    </w:p>
    <w:p w:rsidR="00F30253" w:rsidRDefault="00F3025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1DD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валидност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14.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D75F4C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примило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унутрашњој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валидност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добијена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пошиљалац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Потписом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објективно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доследно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одражава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Извршилац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Потписом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извршилац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F302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истинита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53" w:rsidRPr="00F30253" w:rsidRDefault="00F30253" w:rsidP="00F3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F3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F4C" w:rsidRDefault="00D75F4C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75F4C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F4C">
        <w:rPr>
          <w:rFonts w:ascii="Times New Roman" w:hAnsi="Times New Roman" w:cs="Times New Roman"/>
          <w:b/>
          <w:sz w:val="24"/>
          <w:szCs w:val="24"/>
        </w:rPr>
        <w:t xml:space="preserve">Члан 17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уноса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контролисало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поклапати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4. Кретање рачуноводствених исправа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18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78C4" w:rsidRDefault="005178C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пренос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преноса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Default="00AC78FB" w:rsidP="00D01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извршилаца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унутрашњој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Default="005C5D14" w:rsidP="00D01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19 </w:t>
      </w:r>
    </w:p>
    <w:p w:rsidR="00D0102F" w:rsidRPr="00D0102F" w:rsidRDefault="00D0102F" w:rsidP="00D01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задржава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трећи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 w:rsidRPr="005C5D14">
        <w:rPr>
          <w:rFonts w:ascii="Times New Roman" w:hAnsi="Times New Roman" w:cs="Times New Roman"/>
          <w:sz w:val="24"/>
          <w:szCs w:val="24"/>
        </w:rPr>
        <w:cr/>
      </w: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најмање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задржава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издавалац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примаоцу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екстерна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Default="005C5D14" w:rsidP="00D01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20 </w:t>
      </w:r>
    </w:p>
    <w:p w:rsidR="00D0102F" w:rsidRPr="00D0102F" w:rsidRDefault="00D0102F" w:rsidP="00D01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Екстерна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19.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екстерна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деловодну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Екстерна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деловодним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улазна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привремене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пријемнице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уговора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Улазна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набављеном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додељује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инвентарни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D01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Default="005C5D14" w:rsidP="00D01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21 </w:t>
      </w:r>
    </w:p>
    <w:p w:rsidR="00D0102F" w:rsidRPr="00D0102F" w:rsidRDefault="00D0102F" w:rsidP="00D01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02F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завођењу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деловодну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наручило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потписивању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D0102F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примљене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22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19.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изјаве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отпремнице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уговора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отпремнице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излазна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Отпремницу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попуњава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задржава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трећи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D0102F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5. Рокови за састављање и достављање рачуноводствене исправе </w:t>
      </w:r>
    </w:p>
    <w:p w:rsid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23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дужно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догађаја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Функционисање система интерне финансијске контроле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24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78FB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свеобухватни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расхода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буџетом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ефективности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економичности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финансијско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интерну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25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Финансијско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24.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AC78FB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Финансијским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циљеви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економичан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ефикасан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ефективан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захтев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Изузетно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захтев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сагласност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ангажовати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екстерно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стручно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Интегритет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поузданост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25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1 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спровођењем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следећих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>1.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>2.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чекови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менице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наруџбенице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бројеве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хронолошки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издају</w:t>
      </w:r>
      <w:r w:rsidRPr="005C5D14">
        <w:rPr>
          <w:rFonts w:ascii="Times New Roman" w:hAnsi="Times New Roman" w:cs="Times New Roman"/>
          <w:sz w:val="24"/>
          <w:szCs w:val="24"/>
        </w:rPr>
        <w:t>;</w:t>
      </w:r>
    </w:p>
    <w:p w:rsidR="005178C4" w:rsidRDefault="005178C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>3.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Захтеви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извршавати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оверени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отпремницом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добављача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>;</w:t>
      </w:r>
    </w:p>
    <w:p w:rsidR="00D0102F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>4.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Наруџбеница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добављачу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наруџбенице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заједно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добављача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трећи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остаје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саставио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>5.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преконтролише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проследи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>.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AC78FB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C78FB">
        <w:rPr>
          <w:rFonts w:ascii="Times New Roman" w:hAnsi="Times New Roman" w:cs="Times New Roman"/>
          <w:b/>
          <w:sz w:val="24"/>
          <w:szCs w:val="24"/>
        </w:rPr>
        <w:t xml:space="preserve">Члан 26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24.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саветодавна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објективно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ризицима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спровођењу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Интерна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допринесе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унапређењу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 Годишње и периодично извештавање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1. Годишње извештавање </w:t>
      </w:r>
    </w:p>
    <w:p w:rsid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27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BE222B">
        <w:rPr>
          <w:rFonts w:ascii="Times New Roman" w:hAnsi="Times New Roman" w:cs="Times New Roman"/>
          <w:sz w:val="24"/>
          <w:szCs w:val="24"/>
        </w:rPr>
        <w:t>припрема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28. </w:t>
      </w:r>
      <w:r>
        <w:rPr>
          <w:rFonts w:ascii="Times New Roman" w:hAnsi="Times New Roman" w:cs="Times New Roman"/>
          <w:sz w:val="24"/>
          <w:szCs w:val="24"/>
        </w:rPr>
        <w:t>фебруара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попуњене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AC78FB" w:rsidRDefault="005C5D14" w:rsidP="00AC78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C78FB">
        <w:rPr>
          <w:rFonts w:ascii="Times New Roman" w:hAnsi="Times New Roman" w:cs="Times New Roman"/>
          <w:b/>
          <w:sz w:val="24"/>
          <w:szCs w:val="24"/>
        </w:rPr>
        <w:t>Члан 28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упуством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апропријацијама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45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2. Периодично извештавање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29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тромесечно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периодичне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10.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месецу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тромесечја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5 -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Уколико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одступања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између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образложење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одступања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између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Образложење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одступање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укупно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утрошених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добијена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приходи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5C5D14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објашњење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одступања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одступања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5% </w:t>
      </w:r>
      <w:r>
        <w:rPr>
          <w:rFonts w:ascii="Times New Roman" w:hAnsi="Times New Roman" w:cs="Times New Roman"/>
          <w:sz w:val="24"/>
          <w:szCs w:val="24"/>
        </w:rPr>
        <w:t>одобрених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апропријација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примљене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30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Податке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измирења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преузимања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измирења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Подаци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апликацији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уносе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апликацију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78C4" w:rsidRDefault="005178C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Усклађивање пословних књига, попис имовине и обавеза и усаглашавање потраживања и обавеза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1. Усклађивање пословних књига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31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међусобно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међусобно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2. Попис имовине и обавеза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0102F" w:rsidRPr="00AC78FB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32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Републике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Србије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("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</w:t>
      </w:r>
      <w:r w:rsidRPr="005C5D14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бр</w:t>
      </w:r>
      <w:r w:rsidRPr="005C5D14">
        <w:rPr>
          <w:rFonts w:ascii="Times New Roman" w:hAnsi="Times New Roman" w:cs="Times New Roman"/>
          <w:sz w:val="24"/>
          <w:szCs w:val="24"/>
        </w:rPr>
        <w:t xml:space="preserve">. 33/2015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101/2018)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33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започињања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дневником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Усаглашавање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Имовина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тренутку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валидном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налази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34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ванредан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78C4" w:rsidRDefault="005178C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Редован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Ванредан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примопредаје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овлашћено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рачунополагач</w:t>
      </w:r>
      <w:r w:rsidRPr="005C5D1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овлашћено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35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Одлуком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чланови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заменици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појединачно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Посебном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ванредан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Одлука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координације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36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следеће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координира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благовремено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започеле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завршиле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78C4" w:rsidRDefault="005178C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књиговодства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рачунополагача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предузима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неопходне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37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Председник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заменици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руководиоци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аналитичку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38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завршена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Рокови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Планови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спровођењем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погледу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спровођења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10.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овлашћеном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Један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39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Пописној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номенклатурни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јединица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евентуално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количини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78FB" w:rsidRDefault="00AC78FB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40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утврђивање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бројањем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мерењем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проценом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сличним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ближим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описивањем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уношењем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утврђивање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сачињавају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евидентирање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натуралних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евидентирање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оштећењу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уоченим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примедбама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веродостојне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еквивалената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благајни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хартије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апоенима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уписивањем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готовина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хартије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</w:t>
      </w:r>
      <w:r w:rsidRPr="005C5D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рачунима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41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сарадњи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испитује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анализира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вишкове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мањкове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узроке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настајања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02F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сачињава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стварно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разлике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између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8FB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утврђених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мањкова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надокнађивања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мањкова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Pr="005C5D14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>примедбе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објашњења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разликама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примедбе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32DC" w:rsidRDefault="006E32DC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комисије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прилаже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42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Набављена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разврставају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следећем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>1.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Основна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добра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појединачна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5.000,00 </w:t>
      </w:r>
      <w:r>
        <w:rPr>
          <w:rFonts w:ascii="Times New Roman" w:hAnsi="Times New Roman" w:cs="Times New Roman"/>
          <w:sz w:val="24"/>
          <w:szCs w:val="24"/>
        </w:rPr>
        <w:t>динара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петхиљада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>2.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Ситан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инвентар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појединачна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1.000,00 </w:t>
      </w:r>
      <w:r>
        <w:rPr>
          <w:rFonts w:ascii="Times New Roman" w:hAnsi="Times New Roman" w:cs="Times New Roman"/>
          <w:sz w:val="24"/>
          <w:szCs w:val="24"/>
        </w:rPr>
        <w:t>динара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хиљаду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једнака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5.000,00 </w:t>
      </w:r>
      <w:r>
        <w:rPr>
          <w:rFonts w:ascii="Times New Roman" w:hAnsi="Times New Roman" w:cs="Times New Roman"/>
          <w:sz w:val="24"/>
          <w:szCs w:val="24"/>
        </w:rPr>
        <w:t>динара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петхиљада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>3.</w:t>
      </w:r>
      <w:r w:rsidRPr="005C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Ситан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инвентар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отписује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једнократно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43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амортизацију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пропорционалне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стопама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номенклатури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амортизацију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појединачно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коначан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амортизације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Обрачунавање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амортизације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наредног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месеца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набавке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амортизације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месеца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месеца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отписано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Потпуно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отписана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потписивати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искњижавати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коначне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Ствари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неупотребљиве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исказати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ликвидирати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ликвидације</w:t>
      </w:r>
      <w:r w:rsidRPr="005C5D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смештају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недоступне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44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нефинансијске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15. </w:t>
      </w:r>
      <w:r>
        <w:rPr>
          <w:rFonts w:ascii="Times New Roman" w:hAnsi="Times New Roman" w:cs="Times New Roman"/>
          <w:sz w:val="24"/>
          <w:szCs w:val="24"/>
        </w:rPr>
        <w:t>јануара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78FB" w:rsidRDefault="00AC78FB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Централна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сачињава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коначан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25. </w:t>
      </w:r>
      <w:r>
        <w:rPr>
          <w:rFonts w:ascii="Times New Roman" w:hAnsi="Times New Roman" w:cs="Times New Roman"/>
          <w:sz w:val="24"/>
          <w:szCs w:val="24"/>
        </w:rPr>
        <w:t>фебруара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овлашћеном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одступањима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AC78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>Члан 45</w:t>
      </w:r>
    </w:p>
    <w:p w:rsidR="00D0102F" w:rsidRPr="00D0102F" w:rsidRDefault="00D0102F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Уколико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неправилности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враћа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примерени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FB" w:rsidRPr="00AC78FB" w:rsidRDefault="00AC78FB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30. </w:t>
      </w:r>
      <w:r>
        <w:rPr>
          <w:rFonts w:ascii="Times New Roman" w:hAnsi="Times New Roman" w:cs="Times New Roman"/>
          <w:sz w:val="24"/>
          <w:szCs w:val="24"/>
        </w:rPr>
        <w:t>јануара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следеће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AC78F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>.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3. Усклађивање потраживања и обавеза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46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AC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Усаглашавање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књиговодственог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пласмана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стањем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пласмана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годишњег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47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улози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повериоца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децембра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текуће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преглед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списак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ненаплаћених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прегледа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ненаплаћених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Pr="005C5D1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0F06" w:rsidRPr="00310F06" w:rsidRDefault="00310F06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Дужник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добијану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повериоца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Уколико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сагласан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ставкама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примљеног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ИОС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F06" w:rsidRPr="00310F06" w:rsidRDefault="00310F06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Застарела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отписујују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сагласност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Закључивање и чување пословних књига и рачуноводствених исправа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48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спроведених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статусних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престанка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престанку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закључују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истинитост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49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следећим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1) 50 </w:t>
      </w:r>
      <w:r>
        <w:rPr>
          <w:rFonts w:ascii="Times New Roman" w:hAnsi="Times New Roman" w:cs="Times New Roman"/>
          <w:sz w:val="24"/>
          <w:szCs w:val="24"/>
        </w:rPr>
        <w:t>година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2) 10 </w:t>
      </w:r>
      <w:r>
        <w:rPr>
          <w:rFonts w:ascii="Times New Roman" w:hAnsi="Times New Roman" w:cs="Times New Roman"/>
          <w:sz w:val="24"/>
          <w:szCs w:val="24"/>
        </w:rPr>
        <w:t>година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дневник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главне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помоћне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3) 5 </w:t>
      </w:r>
      <w:r>
        <w:rPr>
          <w:rFonts w:ascii="Times New Roman" w:hAnsi="Times New Roman" w:cs="Times New Roman"/>
          <w:sz w:val="24"/>
          <w:szCs w:val="24"/>
        </w:rPr>
        <w:t>година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изворна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пратећа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трајно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зарадама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почиње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последњег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рачунару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архивирања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Пословне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рачуноводствене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310F06">
        <w:rPr>
          <w:rFonts w:ascii="Times New Roman" w:hAnsi="Times New Roman" w:cs="Times New Roman"/>
          <w:sz w:val="24"/>
          <w:szCs w:val="24"/>
        </w:rPr>
        <w:t>.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02F" w:rsidRPr="00D0102F" w:rsidRDefault="00D0102F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50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Уништавање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Комисија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саставља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уништењу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Утврђивање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Одговорност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51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52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процедура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спроводи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D14" w:rsidRP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53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Школски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2. Одговорност одговорног лица </w:t>
      </w:r>
    </w:p>
    <w:p w:rsid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54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F06" w:rsidRPr="00310F06" w:rsidRDefault="00310F06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одговорношћу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истинитости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потпуности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F06" w:rsidRPr="00310F06" w:rsidRDefault="00310F06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поштовање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завршног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55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наменско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додељених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10F06" w:rsidRDefault="00310F06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56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одржавање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редовно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безбедног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F06" w:rsidRPr="00310F06" w:rsidRDefault="00310F06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адекватно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57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правилност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02F" w:rsidRPr="00D0102F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102F">
        <w:rPr>
          <w:rFonts w:ascii="Times New Roman" w:hAnsi="Times New Roman" w:cs="Times New Roman"/>
          <w:b/>
          <w:sz w:val="24"/>
          <w:szCs w:val="24"/>
        </w:rPr>
        <w:t xml:space="preserve">Члан 58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поштовање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измирења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новчаних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регулише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2F" w:rsidRPr="00D0102F" w:rsidRDefault="00D0102F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941093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1093">
        <w:rPr>
          <w:rFonts w:ascii="Times New Roman" w:hAnsi="Times New Roman" w:cs="Times New Roman"/>
          <w:b/>
          <w:sz w:val="24"/>
          <w:szCs w:val="24"/>
        </w:rPr>
        <w:t>3. Одговорност шефа рачуноводст</w:t>
      </w:r>
      <w:r w:rsidR="00310F06">
        <w:rPr>
          <w:rFonts w:ascii="Times New Roman" w:hAnsi="Times New Roman" w:cs="Times New Roman"/>
          <w:b/>
          <w:sz w:val="24"/>
          <w:szCs w:val="24"/>
        </w:rPr>
        <w:t>ва</w:t>
      </w:r>
      <w:r w:rsidRPr="009410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41093" w:rsidRPr="00941093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1093">
        <w:rPr>
          <w:rFonts w:ascii="Times New Roman" w:hAnsi="Times New Roman" w:cs="Times New Roman"/>
          <w:b/>
          <w:sz w:val="24"/>
          <w:szCs w:val="24"/>
        </w:rPr>
        <w:t xml:space="preserve">Члан 59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310F06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941093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1093">
        <w:rPr>
          <w:rFonts w:ascii="Times New Roman" w:hAnsi="Times New Roman" w:cs="Times New Roman"/>
          <w:b/>
          <w:sz w:val="24"/>
          <w:szCs w:val="24"/>
        </w:rPr>
        <w:t xml:space="preserve">Члан 60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одговоран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укључујући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тромесечних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периодичних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извештаја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вођење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књижење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прописаном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њихово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евидентирање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састављање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општег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буџетског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D14" w:rsidRP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закључење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рачуноводствених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78C4" w:rsidRDefault="005178C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8C4" w:rsidRDefault="005178C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310F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усклађивање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пословних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књига</w:t>
      </w:r>
      <w:r w:rsidRPr="005C5D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пописа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усаглашавање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имовине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Pr="005C5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Pr="00941093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1093">
        <w:rPr>
          <w:rFonts w:ascii="Times New Roman" w:hAnsi="Times New Roman" w:cs="Times New Roman"/>
          <w:b/>
          <w:sz w:val="24"/>
          <w:szCs w:val="24"/>
        </w:rPr>
        <w:t xml:space="preserve">Прелазне и завршне одредбе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5D14" w:rsidRPr="00941093" w:rsidRDefault="005C5D14" w:rsidP="005C5D1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1093">
        <w:rPr>
          <w:rFonts w:ascii="Times New Roman" w:hAnsi="Times New Roman" w:cs="Times New Roman"/>
          <w:b/>
          <w:sz w:val="24"/>
          <w:szCs w:val="24"/>
        </w:rPr>
        <w:t xml:space="preserve">Члан 62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941093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снагу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огласној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D14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94109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Привременог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школског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одбора</w:t>
      </w: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______________________________ </w:t>
      </w:r>
    </w:p>
    <w:p w:rsidR="00941093" w:rsidRP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 Еуридике Латињак)</w:t>
      </w:r>
    </w:p>
    <w:p w:rsidR="005C5D14" w:rsidRPr="00941093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C5D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093" w:rsidRDefault="00941093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3BA" w:rsidRPr="00941093" w:rsidRDefault="005C5D14" w:rsidP="005C5D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Правилник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 w:rsidR="004279F2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гласној</w:t>
      </w:r>
      <w:r w:rsidRPr="005C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</w:t>
      </w:r>
      <w:r w:rsidR="00941093">
        <w:rPr>
          <w:rFonts w:ascii="Times New Roman" w:hAnsi="Times New Roman" w:cs="Times New Roman"/>
          <w:sz w:val="24"/>
          <w:szCs w:val="24"/>
        </w:rPr>
        <w:t xml:space="preserve"> </w:t>
      </w:r>
      <w:r w:rsidR="005178C4">
        <w:rPr>
          <w:rFonts w:ascii="Times New Roman" w:hAnsi="Times New Roman" w:cs="Times New Roman"/>
          <w:sz w:val="24"/>
          <w:szCs w:val="24"/>
          <w:lang w:val="sr-Cyrl-RS"/>
        </w:rPr>
        <w:t>дана 1.2.2021.</w:t>
      </w:r>
      <w:r w:rsidR="00941093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sectPr w:rsidR="004E73BA" w:rsidRPr="00941093" w:rsidSect="00D0102F">
      <w:headerReference w:type="default" r:id="rId8"/>
      <w:pgSz w:w="11906" w:h="16838"/>
      <w:pgMar w:top="2662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EE" w:rsidRDefault="00FC0BEE" w:rsidP="00E914BD">
      <w:pPr>
        <w:spacing w:after="0" w:line="240" w:lineRule="auto"/>
      </w:pPr>
      <w:r>
        <w:separator/>
      </w:r>
    </w:p>
  </w:endnote>
  <w:endnote w:type="continuationSeparator" w:id="0">
    <w:p w:rsidR="00FC0BEE" w:rsidRDefault="00FC0BEE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EE" w:rsidRDefault="00FC0BEE" w:rsidP="00E914BD">
      <w:pPr>
        <w:spacing w:after="0" w:line="240" w:lineRule="auto"/>
      </w:pPr>
      <w:r>
        <w:separator/>
      </w:r>
    </w:p>
  </w:footnote>
  <w:footnote w:type="continuationSeparator" w:id="0">
    <w:p w:rsidR="00FC0BEE" w:rsidRDefault="00FC0BEE" w:rsidP="00E9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C4" w:rsidRPr="001A0E85" w:rsidRDefault="005178C4" w:rsidP="00E914BD">
    <w:pPr>
      <w:spacing w:after="160" w:line="256" w:lineRule="auto"/>
      <w:rPr>
        <w:b/>
        <w:i/>
        <w:sz w:val="24"/>
        <w:lang w:val="hu-HU"/>
      </w:rPr>
    </w:pPr>
    <w:r w:rsidRPr="001A0E85">
      <w:rPr>
        <w:b/>
        <w:i/>
        <w:noProof/>
        <w:sz w:val="24"/>
        <w:lang w:eastAsia="sr-Latn-RS"/>
      </w:rPr>
      <w:drawing>
        <wp:anchor distT="0" distB="0" distL="114300" distR="114300" simplePos="0" relativeHeight="251659264" behindDoc="1" locked="0" layoutInCell="1" allowOverlap="1" wp14:anchorId="39AF0BF1" wp14:editId="0B69FF16">
          <wp:simplePos x="0" y="0"/>
          <wp:positionH relativeFrom="column">
            <wp:posOffset>2324100</wp:posOffset>
          </wp:positionH>
          <wp:positionV relativeFrom="paragraph">
            <wp:posOffset>-104775</wp:posOffset>
          </wp:positionV>
          <wp:extent cx="1390650" cy="1327785"/>
          <wp:effectExtent l="0" t="0" r="0" b="5715"/>
          <wp:wrapNone/>
          <wp:docPr id="1" name="Picture 1" descr="C:\Users\Lenovo\AppData\Local\Microsoft\Windows\INetCache\Content.Word\srem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Word\srem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E85">
      <w:rPr>
        <w:b/>
        <w:i/>
        <w:sz w:val="24"/>
        <w:lang w:val="sr-Cyrl-RS"/>
      </w:rPr>
      <w:t xml:space="preserve">ОСНОВНА ШКОЛА “СТЕВАН СРЕМАЦ” </w:t>
    </w:r>
    <w:r w:rsidRPr="001A0E85">
      <w:rPr>
        <w:b/>
        <w:i/>
        <w:sz w:val="24"/>
        <w:lang w:val="sr-Cyrl-RS"/>
      </w:rPr>
      <w:tab/>
    </w:r>
    <w:r w:rsidRPr="001A0E85">
      <w:rPr>
        <w:b/>
        <w:i/>
        <w:sz w:val="24"/>
        <w:lang w:val="hu-HU"/>
      </w:rPr>
      <w:t xml:space="preserve"> </w:t>
    </w:r>
    <w:r w:rsidRPr="001A0E85">
      <w:rPr>
        <w:b/>
        <w:i/>
        <w:sz w:val="24"/>
        <w:lang w:val="hu-HU"/>
      </w:rPr>
      <w:tab/>
      <w:t xml:space="preserve">           STEVAN SREMAC ÁLTALÁNOS ISKOLA</w:t>
    </w:r>
  </w:p>
  <w:p w:rsidR="005178C4" w:rsidRDefault="005178C4" w:rsidP="00D74186">
    <w:pPr>
      <w:spacing w:after="160" w:line="256" w:lineRule="auto"/>
    </w:pPr>
    <w:r w:rsidRPr="001A0E85">
      <w:rPr>
        <w:b/>
        <w:i/>
        <w:sz w:val="24"/>
        <w:lang w:val="hu-HU"/>
      </w:rPr>
      <w:t xml:space="preserve">24400 </w:t>
    </w:r>
    <w:r w:rsidRPr="001A0E85">
      <w:rPr>
        <w:b/>
        <w:i/>
        <w:sz w:val="24"/>
        <w:lang w:val="sr-Cyrl-RS"/>
      </w:rPr>
      <w:t xml:space="preserve">Сента, </w:t>
    </w:r>
    <w:r w:rsidRPr="001A0E85">
      <w:rPr>
        <w:b/>
        <w:i/>
        <w:sz w:val="24"/>
        <w:lang w:val="hu-HU"/>
      </w:rPr>
      <w:t xml:space="preserve">ул. </w:t>
    </w:r>
    <w:r>
      <w:rPr>
        <w:b/>
        <w:i/>
        <w:sz w:val="24"/>
        <w:lang w:val="sr-Cyrl-RS"/>
      </w:rPr>
      <w:t>Максима Горког 1</w:t>
    </w:r>
    <w:r w:rsidRPr="001A0E85">
      <w:rPr>
        <w:b/>
        <w:i/>
        <w:sz w:val="24"/>
        <w:lang w:val="sr-Cyrl-RS"/>
      </w:rPr>
      <w:tab/>
    </w:r>
    <w:r w:rsidRPr="001A0E85">
      <w:rPr>
        <w:b/>
        <w:i/>
        <w:sz w:val="24"/>
        <w:lang w:val="sr-Cyrl-RS"/>
      </w:rPr>
      <w:tab/>
    </w:r>
    <w:r>
      <w:rPr>
        <w:b/>
        <w:i/>
        <w:sz w:val="24"/>
      </w:rPr>
      <w:t xml:space="preserve">               </w:t>
    </w:r>
    <w:r w:rsidRPr="001A0E85">
      <w:rPr>
        <w:b/>
        <w:i/>
        <w:sz w:val="24"/>
        <w:lang w:val="hu-HU"/>
      </w:rPr>
      <w:t xml:space="preserve"> </w:t>
    </w:r>
    <w:r w:rsidRPr="001A0E85">
      <w:rPr>
        <w:b/>
        <w:i/>
        <w:sz w:val="24"/>
        <w:lang w:val="sr-Cyrl-RS"/>
      </w:rPr>
      <w:t xml:space="preserve">24400 </w:t>
    </w:r>
    <w:r w:rsidRPr="001A0E85">
      <w:rPr>
        <w:b/>
        <w:i/>
        <w:sz w:val="24"/>
        <w:lang w:val="hu-HU"/>
      </w:rPr>
      <w:t>Zenta</w:t>
    </w:r>
    <w:r>
      <w:rPr>
        <w:b/>
        <w:i/>
        <w:sz w:val="24"/>
        <w:lang w:val="hu-HU"/>
      </w:rPr>
      <w:t>, Maksim Gorkij utca 1</w:t>
    </w:r>
    <w:r w:rsidRPr="00D74186">
      <w:t xml:space="preserve"> </w:t>
    </w:r>
  </w:p>
  <w:p w:rsidR="005178C4" w:rsidRPr="00D74186" w:rsidRDefault="005178C4" w:rsidP="00D74186">
    <w:pPr>
      <w:spacing w:after="160" w:line="256" w:lineRule="auto"/>
      <w:rPr>
        <w:b/>
        <w:i/>
        <w:sz w:val="24"/>
        <w:lang w:val="hu-HU"/>
      </w:rPr>
    </w:pPr>
    <w:r w:rsidRPr="00D74186">
      <w:rPr>
        <w:b/>
        <w:i/>
        <w:sz w:val="24"/>
        <w:lang w:val="hu-HU"/>
      </w:rPr>
      <w:t>JБКЈС: 74288</w:t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  <w:t xml:space="preserve">                                            tel/fax: +318 24 812 165</w:t>
    </w:r>
    <w:r w:rsidRPr="00D74186">
      <w:rPr>
        <w:b/>
        <w:i/>
        <w:sz w:val="24"/>
        <w:lang w:val="hu-HU"/>
      </w:rPr>
      <w:tab/>
    </w:r>
  </w:p>
  <w:p w:rsidR="005178C4" w:rsidRPr="00D74186" w:rsidRDefault="005178C4" w:rsidP="00D74186">
    <w:pPr>
      <w:spacing w:after="160" w:line="256" w:lineRule="auto"/>
      <w:rPr>
        <w:b/>
        <w:i/>
        <w:sz w:val="24"/>
        <w:lang w:val="hu-HU"/>
      </w:rPr>
    </w:pPr>
    <w:r w:rsidRPr="00D74186">
      <w:rPr>
        <w:b/>
        <w:i/>
        <w:sz w:val="24"/>
        <w:lang w:val="hu-HU"/>
      </w:rPr>
      <w:t>Матични број: 08970416</w:t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</w:r>
    <w:r w:rsidRPr="00D74186">
      <w:rPr>
        <w:b/>
        <w:i/>
        <w:sz w:val="24"/>
        <w:lang w:val="hu-HU"/>
      </w:rPr>
      <w:tab/>
      <w:t>e-mail: osstevansremac@yahoo.com</w:t>
    </w:r>
  </w:p>
  <w:p w:rsidR="005178C4" w:rsidRPr="00D74186" w:rsidRDefault="005178C4" w:rsidP="00D74186">
    <w:pPr>
      <w:spacing w:after="160" w:line="256" w:lineRule="auto"/>
      <w:rPr>
        <w:lang w:val="hu-HU"/>
      </w:rPr>
    </w:pPr>
    <w:r w:rsidRPr="00D74186">
      <w:rPr>
        <w:b/>
        <w:i/>
        <w:sz w:val="24"/>
        <w:lang w:val="hu-HU"/>
      </w:rPr>
      <w:t>ПИБ: 111651836</w:t>
    </w:r>
    <w:r w:rsidRPr="001A0E85">
      <w:rPr>
        <w:lang w:val="sr-Cyrl-RS"/>
      </w:rPr>
      <w:tab/>
    </w:r>
    <w:r w:rsidRPr="001A0E85">
      <w:rPr>
        <w:lang w:val="sr-Cyrl-RS"/>
      </w:rPr>
      <w:tab/>
    </w:r>
    <w:r w:rsidRPr="001A0E85">
      <w:rPr>
        <w:lang w:val="sr-Cyrl-RS"/>
      </w:rPr>
      <w:tab/>
    </w:r>
    <w:r w:rsidRPr="001A0E85">
      <w:rPr>
        <w:lang w:val="sr-Cyrl-RS"/>
      </w:rPr>
      <w:tab/>
    </w:r>
    <w:r w:rsidRPr="001A0E85">
      <w:rPr>
        <w:lang w:val="sr-Cyrl-RS"/>
      </w:rPr>
      <w:tab/>
    </w:r>
    <w:r>
      <w:rPr>
        <w:lang w:val="hu-HU"/>
      </w:rPr>
      <w:t xml:space="preserve">                      </w:t>
    </w:r>
  </w:p>
  <w:p w:rsidR="005178C4" w:rsidRDefault="005178C4">
    <w:pPr>
      <w:pStyle w:val="Header"/>
    </w:pPr>
    <w:r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6B9CFF" wp14:editId="4772D0B5">
              <wp:simplePos x="0" y="0"/>
              <wp:positionH relativeFrom="column">
                <wp:posOffset>-290195</wp:posOffset>
              </wp:positionH>
              <wp:positionV relativeFrom="paragraph">
                <wp:posOffset>299720</wp:posOffset>
              </wp:positionV>
              <wp:extent cx="6527800" cy="0"/>
              <wp:effectExtent l="0" t="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7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23.6pt" to="491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A313A"/>
    <w:rsid w:val="000B6743"/>
    <w:rsid w:val="000E19E9"/>
    <w:rsid w:val="001B694C"/>
    <w:rsid w:val="002061DD"/>
    <w:rsid w:val="00224769"/>
    <w:rsid w:val="002D6775"/>
    <w:rsid w:val="00310F06"/>
    <w:rsid w:val="003B0CFF"/>
    <w:rsid w:val="003D6AA2"/>
    <w:rsid w:val="004279F2"/>
    <w:rsid w:val="00431EDD"/>
    <w:rsid w:val="004378AB"/>
    <w:rsid w:val="004E73BA"/>
    <w:rsid w:val="005178C4"/>
    <w:rsid w:val="00536D29"/>
    <w:rsid w:val="0056477A"/>
    <w:rsid w:val="005A1366"/>
    <w:rsid w:val="005A4DD8"/>
    <w:rsid w:val="005C5D14"/>
    <w:rsid w:val="005D0BBB"/>
    <w:rsid w:val="005E1359"/>
    <w:rsid w:val="005F29BE"/>
    <w:rsid w:val="00622325"/>
    <w:rsid w:val="00632737"/>
    <w:rsid w:val="006B3227"/>
    <w:rsid w:val="006D6826"/>
    <w:rsid w:val="006E29B0"/>
    <w:rsid w:val="006E32DC"/>
    <w:rsid w:val="006F39D0"/>
    <w:rsid w:val="00716B3E"/>
    <w:rsid w:val="007424E1"/>
    <w:rsid w:val="008B6846"/>
    <w:rsid w:val="008C2B6D"/>
    <w:rsid w:val="00941093"/>
    <w:rsid w:val="009A052E"/>
    <w:rsid w:val="009E2FDD"/>
    <w:rsid w:val="00A81CC6"/>
    <w:rsid w:val="00AC78FB"/>
    <w:rsid w:val="00AF4498"/>
    <w:rsid w:val="00BD7CE2"/>
    <w:rsid w:val="00BE222B"/>
    <w:rsid w:val="00C57825"/>
    <w:rsid w:val="00CC62AA"/>
    <w:rsid w:val="00CE69FC"/>
    <w:rsid w:val="00D0102F"/>
    <w:rsid w:val="00D26B76"/>
    <w:rsid w:val="00D6265F"/>
    <w:rsid w:val="00D74186"/>
    <w:rsid w:val="00D75F4C"/>
    <w:rsid w:val="00DE0073"/>
    <w:rsid w:val="00DF213B"/>
    <w:rsid w:val="00E124C7"/>
    <w:rsid w:val="00E53F68"/>
    <w:rsid w:val="00E914BD"/>
    <w:rsid w:val="00EA253F"/>
    <w:rsid w:val="00F30253"/>
    <w:rsid w:val="00F85F89"/>
    <w:rsid w:val="00FA4BD0"/>
    <w:rsid w:val="00F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D570-F6B0-4E68-9A14-27188A14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5727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10</cp:revision>
  <cp:lastPrinted>2021-02-01T12:37:00Z</cp:lastPrinted>
  <dcterms:created xsi:type="dcterms:W3CDTF">2020-11-23T11:24:00Z</dcterms:created>
  <dcterms:modified xsi:type="dcterms:W3CDTF">2021-02-01T12:37:00Z</dcterms:modified>
</cp:coreProperties>
</file>